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32" w:rsidRPr="00087332" w:rsidRDefault="00087332" w:rsidP="00087332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087332">
        <w:rPr>
          <w:rFonts w:ascii="Arial" w:hAnsi="Arial" w:cs="Arial"/>
          <w:sz w:val="20"/>
          <w:szCs w:val="20"/>
          <w:lang w:eastAsia="cs-CZ"/>
        </w:rPr>
        <w:t xml:space="preserve">Příloha č. 3 – Návrh </w:t>
      </w:r>
      <w:r w:rsidR="004F416C">
        <w:rPr>
          <w:rFonts w:ascii="Arial" w:hAnsi="Arial" w:cs="Arial"/>
          <w:sz w:val="20"/>
          <w:szCs w:val="20"/>
          <w:lang w:eastAsia="cs-CZ"/>
        </w:rPr>
        <w:t>rámcové</w:t>
      </w:r>
      <w:r w:rsidRPr="0008733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31442">
        <w:rPr>
          <w:rFonts w:ascii="Arial" w:hAnsi="Arial" w:cs="Arial"/>
          <w:sz w:val="20"/>
          <w:szCs w:val="20"/>
          <w:lang w:eastAsia="cs-CZ"/>
        </w:rPr>
        <w:t xml:space="preserve">kupní </w:t>
      </w:r>
      <w:r w:rsidRPr="00087332">
        <w:rPr>
          <w:rFonts w:ascii="Arial" w:hAnsi="Arial" w:cs="Arial"/>
          <w:sz w:val="20"/>
          <w:szCs w:val="20"/>
          <w:lang w:eastAsia="cs-CZ"/>
        </w:rPr>
        <w:t>smlouvy</w:t>
      </w:r>
    </w:p>
    <w:p w:rsidR="006D0F23" w:rsidRDefault="006D0F23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:rsidR="00A9088E" w:rsidRPr="006D0F23" w:rsidRDefault="005F344F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RÁM</w:t>
      </w:r>
      <w:r w:rsidR="004F416C" w:rsidRPr="006D0F23">
        <w:rPr>
          <w:rFonts w:ascii="Arial" w:eastAsia="Arial" w:hAnsi="Arial" w:cs="Arial"/>
          <w:b/>
          <w:bCs/>
        </w:rPr>
        <w:t>COVÁ</w:t>
      </w:r>
      <w:r w:rsidR="00A9088E" w:rsidRPr="006D0F23">
        <w:rPr>
          <w:rFonts w:ascii="Arial" w:eastAsia="Arial" w:hAnsi="Arial" w:cs="Arial"/>
          <w:b/>
          <w:bCs/>
        </w:rPr>
        <w:t xml:space="preserve"> </w:t>
      </w:r>
      <w:r w:rsidR="00431442" w:rsidRPr="006D0F23">
        <w:rPr>
          <w:rFonts w:ascii="Arial" w:eastAsia="Arial" w:hAnsi="Arial" w:cs="Arial"/>
          <w:b/>
          <w:bCs/>
        </w:rPr>
        <w:t xml:space="preserve">KUPNÍ </w:t>
      </w:r>
      <w:r w:rsidR="00A9088E" w:rsidRPr="006D0F23">
        <w:rPr>
          <w:rFonts w:ascii="Arial" w:eastAsia="Arial" w:hAnsi="Arial" w:cs="Arial"/>
          <w:b/>
          <w:bCs/>
        </w:rPr>
        <w:t xml:space="preserve">SMLOUVA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uzavřená dle </w:t>
      </w:r>
      <w:r w:rsidR="008073ED" w:rsidRPr="006D0F23">
        <w:rPr>
          <w:rFonts w:ascii="Arial" w:eastAsia="Arial" w:hAnsi="Arial" w:cs="Arial"/>
        </w:rPr>
        <w:t>ustanovení § 2079 a násl. občanského zákoníku</w:t>
      </w:r>
      <w:r w:rsidRPr="006D0F23">
        <w:rPr>
          <w:rFonts w:ascii="Arial" w:eastAsia="Arial" w:hAnsi="Arial" w:cs="Arial"/>
        </w:rPr>
        <w:t xml:space="preserve"> mezi těmito smluvními stranami: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  <w:b/>
        </w:rPr>
      </w:pPr>
      <w:r w:rsidRPr="006D0F23">
        <w:rPr>
          <w:rFonts w:ascii="Arial" w:hAnsi="Arial" w:cs="Arial"/>
          <w:b/>
        </w:rPr>
        <w:t>firma: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se sídlem: 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zapsaná v obchodním rejstříku: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DIČ: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>Zastoupená: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dále jen „prodávající“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ab/>
      </w:r>
      <w:r w:rsidRPr="006D0F23">
        <w:rPr>
          <w:rFonts w:ascii="Arial" w:eastAsia="Arial" w:hAnsi="Arial" w:cs="Arial"/>
        </w:rPr>
        <w:tab/>
        <w:t>a</w:t>
      </w: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</w:p>
    <w:p w:rsidR="00F32ED9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  <w:b/>
        </w:rPr>
        <w:t>Základní škola, Uherský Brod, Mariánské náměstí 41, okres Uherské Hradiště</w:t>
      </w:r>
      <w:r w:rsidRPr="006D0F23">
        <w:rPr>
          <w:rFonts w:ascii="Arial" w:eastAsia="Arial" w:hAnsi="Arial" w:cs="Arial"/>
          <w:b/>
          <w:bCs/>
        </w:rPr>
        <w:t xml:space="preserve">, </w:t>
      </w:r>
      <w:r w:rsidRPr="006D0F23">
        <w:rPr>
          <w:rFonts w:ascii="Arial" w:eastAsia="Arial" w:hAnsi="Arial" w:cs="Arial"/>
        </w:rPr>
        <w:t>se sídlem v Uherském Brodě</w:t>
      </w:r>
      <w:r w:rsidR="00F32ED9">
        <w:rPr>
          <w:rFonts w:ascii="Arial" w:hAnsi="Arial" w:cs="Arial"/>
        </w:rPr>
        <w:t>, Mariánské náměstí 41, 68801</w:t>
      </w:r>
    </w:p>
    <w:p w:rsidR="00F32ED9" w:rsidRDefault="00F32ED9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zapsaná v obchodním rejstříku vedeném Krajským soudem v Brně, oddíl </w:t>
      </w:r>
      <w:proofErr w:type="spellStart"/>
      <w:r w:rsidRPr="006D0F23">
        <w:rPr>
          <w:rFonts w:ascii="Arial" w:hAnsi="Arial" w:cs="Arial"/>
        </w:rPr>
        <w:t>Pr</w:t>
      </w:r>
      <w:proofErr w:type="spellEnd"/>
      <w:r w:rsidRPr="006D0F23">
        <w:rPr>
          <w:rFonts w:ascii="Arial" w:hAnsi="Arial" w:cs="Arial"/>
        </w:rPr>
        <w:t>, vložka č. 312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IČ</w:t>
      </w:r>
      <w:r w:rsidRPr="006D0F23">
        <w:rPr>
          <w:rFonts w:ascii="Arial" w:eastAsia="Arial" w:hAnsi="Arial" w:cs="Arial"/>
        </w:rPr>
        <w:t xml:space="preserve"> </w:t>
      </w:r>
      <w:r w:rsidRPr="006D0F23">
        <w:rPr>
          <w:rFonts w:ascii="Arial" w:hAnsi="Arial" w:cs="Arial"/>
        </w:rPr>
        <w:t>70932336</w:t>
      </w:r>
      <w:r w:rsidRPr="006D0F23">
        <w:rPr>
          <w:rFonts w:ascii="Arial" w:eastAsia="Arial" w:hAnsi="Arial" w:cs="Arial"/>
        </w:rPr>
        <w:t>,</w:t>
      </w:r>
      <w:r w:rsidRPr="006D0F23">
        <w:rPr>
          <w:rFonts w:ascii="Arial" w:hAnsi="Arial" w:cs="Arial"/>
        </w:rPr>
        <w:t xml:space="preserve">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 xml:space="preserve">Osoba oprávněná jednat: </w:t>
      </w:r>
      <w:r w:rsidR="00F32ED9">
        <w:rPr>
          <w:rFonts w:ascii="Arial" w:hAnsi="Arial" w:cs="Arial"/>
        </w:rPr>
        <w:t>Mgr. Lenka Jančová</w:t>
      </w:r>
      <w:r w:rsidRPr="006D0F23">
        <w:rPr>
          <w:rFonts w:ascii="Arial" w:hAnsi="Arial" w:cs="Arial"/>
        </w:rPr>
        <w:t>, ředitel</w:t>
      </w:r>
      <w:r w:rsidR="00F32ED9">
        <w:rPr>
          <w:rFonts w:ascii="Arial" w:hAnsi="Arial" w:cs="Arial"/>
        </w:rPr>
        <w:t>ka</w:t>
      </w:r>
      <w:r w:rsidRPr="006D0F23">
        <w:rPr>
          <w:rFonts w:ascii="Arial" w:eastAsia="Arial" w:hAnsi="Arial" w:cs="Arial"/>
        </w:rPr>
        <w:t xml:space="preserve"> školy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  <w:bCs/>
        </w:rPr>
        <w:t>dále jen „kupující“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takto: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Předmět plnění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Předmětem plnění je veřejná zakázka malého rozsahu na dodávku </w:t>
      </w:r>
      <w:r w:rsidR="00263263" w:rsidRPr="006D0F23">
        <w:rPr>
          <w:rFonts w:ascii="Arial" w:eastAsia="Arial" w:hAnsi="Arial" w:cs="Arial"/>
        </w:rPr>
        <w:t>učebnic a pracovních sešitů.</w:t>
      </w:r>
      <w:r w:rsidRPr="006D0F23">
        <w:rPr>
          <w:rFonts w:ascii="Arial" w:hAnsi="Arial" w:cs="Arial"/>
          <w:noProof/>
        </w:rPr>
        <w:t xml:space="preserve"> </w:t>
      </w:r>
      <w:r w:rsidRPr="006D0F23">
        <w:rPr>
          <w:rFonts w:ascii="Arial" w:eastAsia="Arial" w:hAnsi="Arial" w:cs="Arial"/>
        </w:rPr>
        <w:t xml:space="preserve">Přesná specifikace tvoří Přílohu č. 1 této smlouvy. 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Dodávka předmětu plnění dle odst. 1 se realizuje z rozpočtu školy.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Prodávající prodává touto smlouvou předmět smlouvy specifikovaný v odst. 1. tohoto článku smlouvy kupujícímu a kupující tento předmět smlouvy od prodávajícího kupuje a zavazuje se zaplatit za něj prodávajícímu sjednanou kupní cenu.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předá předmět plnění kupujícímu na základě odsouhlaseného, oběma stranami podepsaného Protokolu o předání a převzetí, obsahujícího potvrzení o funkčnosti zboží. </w:t>
      </w:r>
    </w:p>
    <w:p w:rsidR="001B0091" w:rsidRPr="006D0F23" w:rsidRDefault="001B0091" w:rsidP="006D0F23">
      <w:pPr>
        <w:tabs>
          <w:tab w:val="left" w:pos="284"/>
        </w:tabs>
        <w:suppressAutoHyphens w:val="0"/>
        <w:spacing w:after="120"/>
        <w:ind w:left="714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spacing w:after="12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Kupní cena a způsob zaplacení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Kupní cena předmětu smlouvy uvedeného v článku I.</w:t>
      </w:r>
      <w:r w:rsid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odst.1 této smlouvy činí: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....................................</w:t>
      </w:r>
      <w:r w:rsidR="00F32ED9">
        <w:rPr>
          <w:rFonts w:ascii="Arial" w:hAnsi="Arial" w:cs="Arial"/>
        </w:rPr>
        <w:t>.. Kč, cena je uvedená bez DPH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DPH činí ...........</w:t>
      </w:r>
      <w:r w:rsidR="00F32ED9">
        <w:rPr>
          <w:rFonts w:ascii="Arial" w:hAnsi="Arial" w:cs="Arial"/>
        </w:rPr>
        <w:t>........................... Kč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Celková cena včetně DPH činí ...................................... Kč </w:t>
      </w:r>
    </w:p>
    <w:p w:rsidR="00F32ED9" w:rsidRDefault="00A9088E" w:rsidP="00F32ED9">
      <w:pPr>
        <w:ind w:left="720" w:firstLine="696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(slovy ................................................................... korun českých). </w:t>
      </w:r>
    </w:p>
    <w:p w:rsidR="00A9088E" w:rsidRPr="006D0F23" w:rsidRDefault="00A9088E" w:rsidP="00F32ED9">
      <w:p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Cenu je možné překročit pouze v souvislosti se změnou daňových předpisů týkajících se DPH.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Smluvní strany se dohodly, že prodávající je povinen zajistit na své náklady dop</w:t>
      </w:r>
      <w:r w:rsidR="00711C6C" w:rsidRPr="006D0F23">
        <w:rPr>
          <w:rFonts w:ascii="Arial" w:hAnsi="Arial" w:cs="Arial"/>
        </w:rPr>
        <w:t>ravu do místa plnění.</w:t>
      </w:r>
    </w:p>
    <w:p w:rsidR="00A9088E" w:rsidRPr="006D0F23" w:rsidRDefault="00A9088E" w:rsidP="00F02CF2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Smluvní strany se dohodly, že předmět smlouvy bude kupující hradit na základě daňového dokladu – faktury, </w:t>
      </w:r>
      <w:r w:rsidR="00B540EF" w:rsidRPr="006D0F23">
        <w:rPr>
          <w:rFonts w:ascii="Arial" w:hAnsi="Arial" w:cs="Arial"/>
        </w:rPr>
        <w:t xml:space="preserve">která </w:t>
      </w:r>
      <w:r w:rsidRPr="006D0F23">
        <w:rPr>
          <w:rFonts w:ascii="Arial" w:hAnsi="Arial" w:cs="Arial"/>
        </w:rPr>
        <w:t>bude vystavena po dodání předmětu plnění kupujícímu se splatností 30 d</w:t>
      </w:r>
      <w:r w:rsidR="00B540EF" w:rsidRPr="006D0F23">
        <w:rPr>
          <w:rFonts w:ascii="Arial" w:hAnsi="Arial" w:cs="Arial"/>
        </w:rPr>
        <w:t>nů ode dne doručení kupujícímu.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Daňový doklad – faktura musí obsahovat všechny náležitosti řádného účetního </w:t>
      </w:r>
      <w:r w:rsidRPr="006D0F23">
        <w:rPr>
          <w:rFonts w:ascii="Arial" w:hAnsi="Arial" w:cs="Arial"/>
        </w:rPr>
        <w:lastRenderedPageBreak/>
        <w:t xml:space="preserve">a daňového dokladu ve smyslu příslušných právních předpisů, zejména 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z.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zaslání náležitě doplněného či opraveného dokladu.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Místo a termín plnění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Smluvní strany se dohodly, že místem plnění je sídlo kupujícího, tj. Základní škola, Uherský Brod, Mariánské náměstí 41, okres Uherské Hradiště, Mariánské náměstí 41, 688 01 Uherský Brod.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Smluvní strany se dohodly na možnosti posunutí termínu s ohledem na provozní a organizační potřeby kupujícího s tím, že prodávajícímu nevzniká právo na uplatnění smluvních pokut, navýšení cen či náhrad škod. 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se zavazuje, že předmět plnění dodá, pokud kupující neuplatní ustanovení odst. 2 tohoto článku</w:t>
      </w:r>
      <w:r w:rsidR="006D0F23" w:rsidRPr="006D0F23">
        <w:rPr>
          <w:rFonts w:ascii="Arial" w:eastAsia="Arial" w:hAnsi="Arial" w:cs="Arial"/>
          <w:bCs/>
        </w:rPr>
        <w:t>,</w:t>
      </w:r>
      <w:r w:rsidRPr="006D0F23">
        <w:rPr>
          <w:rFonts w:ascii="Arial" w:eastAsia="Arial" w:hAnsi="Arial" w:cs="Arial"/>
          <w:bCs/>
        </w:rPr>
        <w:t xml:space="preserve"> bez vad kupujícímu do místa plnění do </w:t>
      </w:r>
      <w:r w:rsidR="006D0F23" w:rsidRPr="006D0F23">
        <w:rPr>
          <w:rFonts w:ascii="Arial" w:eastAsia="Arial" w:hAnsi="Arial" w:cs="Arial"/>
          <w:bCs/>
        </w:rPr>
        <w:t>2</w:t>
      </w:r>
      <w:r w:rsidR="005B6775">
        <w:rPr>
          <w:rFonts w:ascii="Arial" w:eastAsia="Arial" w:hAnsi="Arial" w:cs="Arial"/>
          <w:bCs/>
        </w:rPr>
        <w:t>7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="006C42E7" w:rsidRPr="006D0F23">
        <w:rPr>
          <w:rFonts w:ascii="Arial" w:eastAsia="Arial" w:hAnsi="Arial" w:cs="Arial"/>
          <w:bCs/>
        </w:rPr>
        <w:t>. 202</w:t>
      </w:r>
      <w:r w:rsidR="00F32ED9">
        <w:rPr>
          <w:rFonts w:ascii="Arial" w:eastAsia="Arial" w:hAnsi="Arial" w:cs="Arial"/>
          <w:bCs/>
        </w:rPr>
        <w:t>5</w:t>
      </w:r>
      <w:r w:rsidR="006D0F23" w:rsidRPr="006D0F23">
        <w:rPr>
          <w:rFonts w:ascii="Arial" w:eastAsia="Arial" w:hAnsi="Arial" w:cs="Arial"/>
          <w:bCs/>
        </w:rPr>
        <w:t xml:space="preserve"> a následně v případě vzniklé potřeby do 31.12.202</w:t>
      </w:r>
      <w:r w:rsidR="00F32ED9">
        <w:rPr>
          <w:rFonts w:ascii="Arial" w:eastAsia="Arial" w:hAnsi="Arial" w:cs="Arial"/>
          <w:bCs/>
        </w:rPr>
        <w:t>5</w:t>
      </w:r>
      <w:r w:rsidR="006D0F23" w:rsidRPr="006D0F23">
        <w:rPr>
          <w:rFonts w:ascii="Arial" w:eastAsia="Arial" w:hAnsi="Arial" w:cs="Arial"/>
          <w:bCs/>
        </w:rPr>
        <w:t xml:space="preserve">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IV.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 xml:space="preserve">Záruky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6D0F23">
      <w:pPr>
        <w:pStyle w:val="Odstavecseseznamem"/>
        <w:widowControl w:val="0"/>
        <w:numPr>
          <w:ilvl w:val="0"/>
          <w:numId w:val="10"/>
        </w:numPr>
        <w:autoSpaceDE w:val="0"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poskytuje na předmět plnění záruční doby v minimální délce</w:t>
      </w:r>
      <w:r w:rsidR="006D0F23">
        <w:rPr>
          <w:rFonts w:ascii="Arial" w:eastAsia="Arial" w:hAnsi="Arial" w:cs="Arial"/>
          <w:bCs/>
        </w:rPr>
        <w:t xml:space="preserve"> 24 </w:t>
      </w:r>
      <w:r w:rsidRPr="006D0F23">
        <w:rPr>
          <w:rFonts w:ascii="Arial" w:eastAsia="Arial" w:hAnsi="Arial" w:cs="Arial"/>
          <w:bCs/>
        </w:rPr>
        <w:t xml:space="preserve">měsíců.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color w:val="FF0000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Smluvní pokuta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 případ nezahájení dodání předmětu smlouvy do 14 dnů od písemné výzvy objednatele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Při nedodržení termínu předání zboží bez vad do </w:t>
      </w:r>
      <w:r w:rsidR="006D0F23">
        <w:rPr>
          <w:rFonts w:ascii="Arial" w:eastAsia="Arial" w:hAnsi="Arial" w:cs="Arial"/>
          <w:bCs/>
        </w:rPr>
        <w:t>2</w:t>
      </w:r>
      <w:r w:rsidR="005B6775">
        <w:rPr>
          <w:rFonts w:ascii="Arial" w:eastAsia="Arial" w:hAnsi="Arial" w:cs="Arial"/>
          <w:bCs/>
        </w:rPr>
        <w:t>7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Pr="006D0F23">
        <w:rPr>
          <w:rFonts w:ascii="Arial" w:eastAsia="Arial" w:hAnsi="Arial" w:cs="Arial"/>
          <w:bCs/>
        </w:rPr>
        <w:t>. 20</w:t>
      </w:r>
      <w:r w:rsidR="006C42E7" w:rsidRPr="006D0F23">
        <w:rPr>
          <w:rFonts w:ascii="Arial" w:eastAsia="Arial" w:hAnsi="Arial" w:cs="Arial"/>
          <w:bCs/>
        </w:rPr>
        <w:t>2</w:t>
      </w:r>
      <w:r w:rsidR="00F32ED9">
        <w:rPr>
          <w:rFonts w:ascii="Arial" w:eastAsia="Arial" w:hAnsi="Arial" w:cs="Arial"/>
          <w:bCs/>
        </w:rPr>
        <w:t>5</w:t>
      </w:r>
      <w:r w:rsidRPr="006D0F23">
        <w:rPr>
          <w:rFonts w:ascii="Arial" w:eastAsia="Arial" w:hAnsi="Arial" w:cs="Arial"/>
          <w:bCs/>
        </w:rPr>
        <w:t xml:space="preserve">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V případě prodlení objednatele s platbou bude stanovena smluvní pokuta ve výši 0,1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z dlužné částky za každý den prodlení.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Ostatní ujednání</w:t>
      </w:r>
    </w:p>
    <w:p w:rsidR="00A9088E" w:rsidRPr="006D0F23" w:rsidRDefault="00A9088E" w:rsidP="00A9088E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Kupující se stává vlastníkem movitých věcí dnem podpisu předávacího protokolu, tímto dnem rovněž přechází na kupujícího nebezpečí škody na věci. </w:t>
      </w:r>
    </w:p>
    <w:p w:rsidR="00A9088E" w:rsidRPr="006D0F23" w:rsidRDefault="00A9088E" w:rsidP="004E76E2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poskytuje záruku za jakost poskytnutého plnění </w:t>
      </w:r>
      <w:r w:rsidR="004E76E2" w:rsidRPr="006D0F23">
        <w:rPr>
          <w:rFonts w:ascii="Arial" w:eastAsia="Arial" w:hAnsi="Arial" w:cs="Arial"/>
        </w:rPr>
        <w:t>nejméně 2 roky od dodání.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</w:rPr>
        <w:t>VII.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Závěrečná ujednání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Tato smlouva je sepsána ve 2 vyhotoveních s platností originálu, z nichž 1 obdrží </w:t>
      </w:r>
      <w:r w:rsidRPr="006D0F23">
        <w:rPr>
          <w:rFonts w:ascii="Arial" w:eastAsia="Arial" w:hAnsi="Arial" w:cs="Arial"/>
        </w:rPr>
        <w:lastRenderedPageBreak/>
        <w:t xml:space="preserve">prodávající a 1 kupující. 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Vztahy mezi smluvními stranami touto smlouvou neupravené se obecně řídí příslušnými ustanoveními</w:t>
      </w:r>
      <w:r w:rsidR="008557D5">
        <w:rPr>
          <w:rFonts w:ascii="Arial" w:eastAsia="Arial" w:hAnsi="Arial" w:cs="Arial"/>
        </w:rPr>
        <w:t xml:space="preserve"> </w:t>
      </w:r>
      <w:r w:rsidR="0007558A" w:rsidRPr="006D0F23">
        <w:rPr>
          <w:rFonts w:ascii="Arial" w:eastAsia="Arial" w:hAnsi="Arial" w:cs="Arial"/>
        </w:rPr>
        <w:t>občanského zákoníku</w:t>
      </w:r>
      <w:r w:rsidRPr="006D0F23">
        <w:rPr>
          <w:rFonts w:ascii="Arial" w:eastAsia="Arial" w:hAnsi="Arial" w:cs="Arial"/>
        </w:rPr>
        <w:t xml:space="preserve"> v platném znění.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Smluvní strany se dohodly, že případné spory mezi stranami bude řešit soud určený podle místa kupujícího. Dále se smluvní strany dohodly, že rozhodčí řízení je vyloučeno.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Smlouva nabývá platnosti a účinnosti dnem podpisu smluvními stranami, lze ji měnit jen formou písemných dodatků podepsaných oběma smluvními stranami.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 Uherském Brodě dne 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1B0091" w:rsidRDefault="001B0091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............................................................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        prodávající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kupující</w:t>
      </w:r>
    </w:p>
    <w:p w:rsidR="00A9088E" w:rsidRDefault="00E55F7E" w:rsidP="00A9088E">
      <w:pPr>
        <w:autoSpaceDE w:val="0"/>
        <w:ind w:left="4531" w:firstLine="425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Mgr. Lenka Ja</w:t>
      </w:r>
      <w:bookmarkStart w:id="0" w:name="_GoBack"/>
      <w:bookmarkEnd w:id="0"/>
      <w:r w:rsidR="00F32ED9">
        <w:rPr>
          <w:rFonts w:ascii="Arial" w:hAnsi="Arial" w:cs="Arial"/>
          <w:b/>
          <w:sz w:val="22"/>
          <w:szCs w:val="22"/>
        </w:rPr>
        <w:t>nčová</w:t>
      </w:r>
      <w:r w:rsidR="00A9088E">
        <w:rPr>
          <w:rFonts w:ascii="Arial" w:hAnsi="Arial" w:cs="Arial"/>
          <w:b/>
          <w:sz w:val="22"/>
          <w:szCs w:val="22"/>
        </w:rPr>
        <w:t>, ředitel</w:t>
      </w:r>
      <w:r w:rsidR="00F32ED9">
        <w:rPr>
          <w:rFonts w:ascii="Arial" w:hAnsi="Arial" w:cs="Arial"/>
          <w:b/>
          <w:sz w:val="22"/>
          <w:szCs w:val="22"/>
        </w:rPr>
        <w:t>ka</w:t>
      </w:r>
      <w:r w:rsidR="00A9088E">
        <w:rPr>
          <w:rFonts w:ascii="Arial" w:hAnsi="Arial" w:cs="Arial"/>
          <w:b/>
          <w:sz w:val="22"/>
          <w:szCs w:val="22"/>
        </w:rPr>
        <w:t xml:space="preserve"> školy</w:t>
      </w:r>
    </w:p>
    <w:sectPr w:rsidR="00A9088E" w:rsidSect="001B0091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06B5"/>
    <w:multiLevelType w:val="hybridMultilevel"/>
    <w:tmpl w:val="A8C4D3F0"/>
    <w:lvl w:ilvl="0" w:tplc="B978DEBE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7F4B81"/>
    <w:multiLevelType w:val="hybridMultilevel"/>
    <w:tmpl w:val="98C419FE"/>
    <w:lvl w:ilvl="0" w:tplc="77BA7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AE4"/>
    <w:multiLevelType w:val="hybridMultilevel"/>
    <w:tmpl w:val="3280A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52C"/>
    <w:multiLevelType w:val="hybridMultilevel"/>
    <w:tmpl w:val="1F5676CA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D324F"/>
    <w:multiLevelType w:val="hybridMultilevel"/>
    <w:tmpl w:val="8AE03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724B4"/>
    <w:multiLevelType w:val="hybridMultilevel"/>
    <w:tmpl w:val="A6A81BB2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B5B10"/>
    <w:multiLevelType w:val="hybridMultilevel"/>
    <w:tmpl w:val="59F0A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49AF"/>
    <w:multiLevelType w:val="hybridMultilevel"/>
    <w:tmpl w:val="84F635FE"/>
    <w:lvl w:ilvl="0" w:tplc="B576FE1A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AF2"/>
    <w:multiLevelType w:val="hybridMultilevel"/>
    <w:tmpl w:val="72628B54"/>
    <w:lvl w:ilvl="0" w:tplc="C02E234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2DBB"/>
    <w:multiLevelType w:val="hybridMultilevel"/>
    <w:tmpl w:val="B1F6D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E"/>
    <w:rsid w:val="0007558A"/>
    <w:rsid w:val="00087332"/>
    <w:rsid w:val="000D309F"/>
    <w:rsid w:val="00176CC7"/>
    <w:rsid w:val="001B0091"/>
    <w:rsid w:val="002107AF"/>
    <w:rsid w:val="002230DB"/>
    <w:rsid w:val="0023316A"/>
    <w:rsid w:val="00263263"/>
    <w:rsid w:val="00431442"/>
    <w:rsid w:val="00480460"/>
    <w:rsid w:val="00485B25"/>
    <w:rsid w:val="004C0DEF"/>
    <w:rsid w:val="004E76E2"/>
    <w:rsid w:val="004F416C"/>
    <w:rsid w:val="00506603"/>
    <w:rsid w:val="005B6775"/>
    <w:rsid w:val="005F344F"/>
    <w:rsid w:val="006632E8"/>
    <w:rsid w:val="0067741C"/>
    <w:rsid w:val="006C42E7"/>
    <w:rsid w:val="006D0F23"/>
    <w:rsid w:val="00711C6C"/>
    <w:rsid w:val="007B01AF"/>
    <w:rsid w:val="008073ED"/>
    <w:rsid w:val="008557D5"/>
    <w:rsid w:val="008F3E15"/>
    <w:rsid w:val="009054D2"/>
    <w:rsid w:val="009269D6"/>
    <w:rsid w:val="00975BA6"/>
    <w:rsid w:val="00A71F62"/>
    <w:rsid w:val="00A9088E"/>
    <w:rsid w:val="00AF5EDA"/>
    <w:rsid w:val="00B442E6"/>
    <w:rsid w:val="00B540EF"/>
    <w:rsid w:val="00E55F7E"/>
    <w:rsid w:val="00F32ED9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9188D-D83D-483E-B5EA-606B97E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8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9088E"/>
    <w:pPr>
      <w:keepNext/>
      <w:spacing w:after="120" w:line="360" w:lineRule="auto"/>
      <w:ind w:left="576"/>
      <w:jc w:val="both"/>
      <w:outlineLvl w:val="1"/>
    </w:pPr>
    <w:rPr>
      <w:rFonts w:ascii="Calibri" w:hAnsi="Calibri" w:cs="Calibri"/>
      <w:b/>
      <w:bCs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9088E"/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A9088E"/>
    <w:pPr>
      <w:ind w:left="720"/>
    </w:pPr>
  </w:style>
  <w:style w:type="character" w:styleId="Zdraznn">
    <w:name w:val="Emphasis"/>
    <w:basedOn w:val="Standardnpsmoodstavce"/>
    <w:uiPriority w:val="20"/>
    <w:qFormat/>
    <w:rsid w:val="008073ED"/>
    <w:rPr>
      <w:i/>
      <w:iCs/>
    </w:rPr>
  </w:style>
  <w:style w:type="paragraph" w:styleId="Odstavecseseznamem">
    <w:name w:val="List Paragraph"/>
    <w:basedOn w:val="Normln"/>
    <w:uiPriority w:val="34"/>
    <w:qFormat/>
    <w:rsid w:val="004804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57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7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3DF1-7A62-4652-90BD-2825B436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6</TotalTime>
  <Pages>3</Pages>
  <Words>715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Ing.</cp:lastModifiedBy>
  <cp:revision>5</cp:revision>
  <cp:lastPrinted>2025-07-23T08:29:00Z</cp:lastPrinted>
  <dcterms:created xsi:type="dcterms:W3CDTF">2025-07-23T08:26:00Z</dcterms:created>
  <dcterms:modified xsi:type="dcterms:W3CDTF">2025-07-25T05:30:00Z</dcterms:modified>
</cp:coreProperties>
</file>